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jc w:val="center"/>
        <w:rPr>
          <w:rFonts w:ascii="Verdana" w:cs="Verdana" w:eastAsia="Verdana" w:hAnsi="Verdana"/>
          <w:b w:val="1"/>
          <w:smallCaps w:val="1"/>
          <w:color w:val="40404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smallCaps w:val="1"/>
          <w:color w:val="404040"/>
          <w:sz w:val="24"/>
          <w:szCs w:val="24"/>
          <w:rtl w:val="0"/>
        </w:rPr>
        <w:t xml:space="preserve">T.C.</w:t>
      </w:r>
    </w:p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Verdana" w:cs="Verdana" w:eastAsia="Verdana" w:hAnsi="Verdana"/>
          <w:b w:val="1"/>
          <w:smallCaps w:val="1"/>
          <w:color w:val="40404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404040"/>
          <w:sz w:val="24"/>
          <w:szCs w:val="24"/>
          <w:rtl w:val="0"/>
        </w:rPr>
        <w:t xml:space="preserve">YALOVA ÜNİVERSİTESİ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Verdana" w:cs="Verdana" w:eastAsia="Verdana" w:hAnsi="Verdana"/>
          <w:b w:val="1"/>
          <w:smallCaps w:val="1"/>
          <w:color w:val="40404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404040"/>
          <w:sz w:val="24"/>
          <w:szCs w:val="24"/>
          <w:rtl w:val="0"/>
        </w:rPr>
        <w:t xml:space="preserve">………………………………….. FAKÜLTESİ / YÜKSEKOKULU / MESLEK YÜKSEKOKULU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Verdana" w:cs="Verdana" w:eastAsia="Verdana" w:hAnsi="Verdana"/>
          <w:b w:val="1"/>
          <w:smallCaps w:val="1"/>
          <w:color w:val="40404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404040"/>
          <w:sz w:val="24"/>
          <w:szCs w:val="24"/>
          <w:rtl w:val="0"/>
        </w:rPr>
        <w:t xml:space="preserve">……………………………………………………………. BÖLÜMÜ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b w:val="1"/>
          <w:smallCaps w:val="1"/>
          <w:color w:val="40404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mallCaps w:val="1"/>
          <w:color w:val="404040"/>
          <w:sz w:val="24"/>
          <w:szCs w:val="24"/>
          <w:rtl w:val="0"/>
        </w:rPr>
        <w:t xml:space="preserve">BİRİM AKADEMİK TEŞVİK BAŞVURU VE İNCELEME KOMİSYONU</w:t>
      </w:r>
    </w:p>
    <w:p w:rsidR="00000000" w:rsidDel="00000000" w:rsidP="00000000" w:rsidRDefault="00000000" w:rsidRPr="00000000" w14:paraId="00000005">
      <w:pPr>
        <w:pStyle w:val="Title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Karar Tutanağı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931"/>
        <w:gridCol w:w="6923"/>
        <w:tblGridChange w:id="0">
          <w:tblGrid>
            <w:gridCol w:w="2931"/>
            <w:gridCol w:w="6923"/>
          </w:tblGrid>
        </w:tblGridChange>
      </w:tblGrid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Karar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Doçentlik Temel Alanı</w:t>
            </w:r>
            <w:r w:rsidDel="00000000" w:rsidR="00000000" w:rsidRPr="00000000">
              <w:rPr>
                <w:rFonts w:ascii="Verdana" w:cs="Verdana" w:eastAsia="Verdana" w:hAnsi="Verdana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7030a0"/>
                <w:sz w:val="16"/>
                <w:szCs w:val="16"/>
                <w:rtl w:val="0"/>
              </w:rPr>
              <w:t xml:space="preserve">Doçentlik temel alanı seçin.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Rule="auto"/>
        <w:rPr>
          <w:rFonts w:ascii="Verdana" w:cs="Verdana" w:eastAsia="Verdana" w:hAnsi="Verdana"/>
          <w:color w:val="ff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color w:val="ff0000"/>
          <w:sz w:val="16"/>
          <w:szCs w:val="16"/>
          <w:rtl w:val="0"/>
        </w:rPr>
        <w:t xml:space="preserve">* ÜAK Doçentlik temel alanları dikkate alınacaktır. 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Komisyonumuzun bağlı olduğu bölüme başvuran öğretim elemanlarının, YOKSİS Akademik Teşvik Raporunda yer alan beyanları ve akademik faaliyetleri ile ilgili ekli belgeleri, Akademik Teşvik Ödeneği Yönetmeliği hükümlerine uygun olarak incelenmiştir.</w:t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Yapılan inceleme sonucunda, </w:t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1) …… adet başvurunun mevcut haliyle kabulüne,</w:t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2) …… adet başvurunun kısmen kabulüne; Komisyonumuzun ekteki Değerlendirme Raporunda/Raporlarında yer verilen gerekçelere göre, başvuru sahibinin toplam net akademik teşvik puanının ekteki Puan Tablosunda yer alan şekliyle yeniden hesaplanmasına,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3) ….. adet başvurunun................................................................................. gerekçesi ile ret edilmesine ve başvuru sahibine iadesine</w:t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oy birliği /oy çokluğu ile karar verilmiştir.</w:t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Ek 1: Puan Tablosu ……. sayfa</w:t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Ek 2: Değerlendirme Raporu ……  sayfa</w:t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İmza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Unvan Adı Soyadı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Başkan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İmza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İmza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Unvan 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Unvan Adı Soyadı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Üye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Üye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/>
      <w:drawing>
        <wp:inline distB="114300" distT="114300" distL="114300" distR="114300">
          <wp:extent cx="6122670" cy="9144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drawing>
        <wp:inline distB="114300" distT="114300" distL="114300" distR="114300">
          <wp:extent cx="6122670" cy="9144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i w:val="1"/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Calibri" w:cs="Calibri" w:eastAsia="Calibri" w:hAnsi="Calibri"/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color w:val="404040"/>
      <w:sz w:val="72"/>
      <w:szCs w:val="7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smallCaps w:val="1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